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CAB9" w14:textId="405FDA1A" w:rsidR="000F5B3C" w:rsidRPr="00AC4DA8" w:rsidRDefault="00D0400C" w:rsidP="490A6B79">
      <w:pPr>
        <w:jc w:val="both"/>
        <w:rPr>
          <w:rFonts w:ascii="Tahoma" w:hAnsi="Tahoma" w:cs="Tahoma"/>
          <w:b/>
          <w:color w:val="595959" w:themeColor="text1" w:themeTint="A6"/>
        </w:rPr>
      </w:pPr>
      <w:r w:rsidRPr="00AC4DA8">
        <w:rPr>
          <w:rFonts w:ascii="Tahoma" w:hAnsi="Tahoma" w:cs="Tahoma"/>
          <w:noProof/>
        </w:rPr>
        <mc:AlternateContent>
          <mc:Choice Requires="wps">
            <w:drawing>
              <wp:anchor distT="0" distB="0" distL="114300" distR="114300" simplePos="0" relativeHeight="251658240" behindDoc="0" locked="0" layoutInCell="1" allowOverlap="1" wp14:anchorId="688EAB9E" wp14:editId="1A92C5AD">
                <wp:simplePos x="0" y="0"/>
                <wp:positionH relativeFrom="column">
                  <wp:posOffset>3474720</wp:posOffset>
                </wp:positionH>
                <wp:positionV relativeFrom="paragraph">
                  <wp:posOffset>1905</wp:posOffset>
                </wp:positionV>
                <wp:extent cx="308673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914400"/>
                        </a:xfrm>
                        <a:prstGeom prst="rect">
                          <a:avLst/>
                        </a:prstGeom>
                        <a:noFill/>
                        <a:ln>
                          <a:noFill/>
                        </a:ln>
                        <a:effectLst/>
                      </wps:spPr>
                      <wps:txbx>
                        <w:txbxContent>
                          <w:p w14:paraId="621A27AC" w14:textId="6B305C03"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sidR="00EF7C70">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sidR="00B66979">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sidR="00B66979">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EAB9E" id="_x0000_t202" coordsize="21600,21600" o:spt="202" path="m,l,21600r21600,l21600,xe">
                <v:stroke joinstyle="miter"/>
                <v:path gradientshapeok="t" o:connecttype="rect"/>
              </v:shapetype>
              <v:shape id="Text Box 2" o:spid="_x0000_s1026" type="#_x0000_t202" style="position:absolute;left:0;text-align:left;margin-left:273.6pt;margin-top:.15pt;width:243.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" filled="f" stroked="f">
                <v:textbox>
                  <w:txbxContent>
                    <w:p w14:paraId="621A27AC" w14:textId="6B305C03"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sidR="00EF7C70">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sidR="00B66979">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sidR="00B66979">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v:textbox>
                <w10:wrap type="square"/>
              </v:shape>
            </w:pict>
          </mc:Fallback>
        </mc:AlternateContent>
      </w:r>
      <w:r>
        <w:rPr>
          <w:noProof/>
        </w:rPr>
        <w:drawing>
          <wp:inline distT="0" distB="0" distL="0" distR="0" wp14:anchorId="65D1D4C8" wp14:editId="11E36D68">
            <wp:extent cx="1578586" cy="1332462"/>
            <wp:effectExtent l="0" t="0" r="0" b="0"/>
            <wp:docPr id="1225419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578586" cy="1332462"/>
                    </a:xfrm>
                    <a:prstGeom prst="rect">
                      <a:avLst/>
                    </a:prstGeom>
                  </pic:spPr>
                </pic:pic>
              </a:graphicData>
            </a:graphic>
          </wp:inline>
        </w:drawing>
      </w:r>
    </w:p>
    <w:p w14:paraId="1CF8E3E4" w14:textId="77777777" w:rsidR="000F5B3C" w:rsidRPr="00AC4DA8" w:rsidRDefault="000F5B3C" w:rsidP="000F5B3C">
      <w:pPr>
        <w:rPr>
          <w:rFonts w:ascii="Tahoma" w:hAnsi="Tahoma" w:cs="Tahoma"/>
        </w:rPr>
      </w:pPr>
    </w:p>
    <w:p w14:paraId="5AECE656" w14:textId="77777777" w:rsidR="00C67662" w:rsidRPr="00AC4DA8" w:rsidRDefault="00C67662" w:rsidP="009B7F82">
      <w:pPr>
        <w:pStyle w:val="NoSpacing"/>
        <w:spacing w:line="360" w:lineRule="auto"/>
        <w:rPr>
          <w:rFonts w:ascii="Tahoma" w:hAnsi="Tahoma" w:cs="Tahoma"/>
          <w:b/>
          <w:color w:val="595959" w:themeColor="text1" w:themeTint="A6"/>
          <w:sz w:val="10"/>
          <w:szCs w:val="10"/>
        </w:rPr>
      </w:pPr>
    </w:p>
    <w:p w14:paraId="5C26AEB8" w14:textId="77777777" w:rsidR="000A2E5A" w:rsidRPr="000A2E5A" w:rsidRDefault="000A2E5A" w:rsidP="000A2E5A">
      <w:pPr>
        <w:rPr>
          <w:rFonts w:ascii="Tahoma" w:eastAsia="Tahoma" w:hAnsi="Tahoma" w:cs="Tahoma"/>
          <w:b/>
          <w:sz w:val="36"/>
          <w:szCs w:val="36"/>
        </w:rPr>
      </w:pPr>
      <w:r w:rsidRPr="000A2E5A">
        <w:rPr>
          <w:rFonts w:ascii="Tahoma" w:eastAsia="Tahoma" w:hAnsi="Tahoma" w:cs="Tahoma"/>
          <w:b/>
          <w:sz w:val="36"/>
          <w:szCs w:val="36"/>
        </w:rPr>
        <w:t>Network of Executive Women Partners with The Mom Project to Enable More Companies to Retain Women</w:t>
      </w:r>
    </w:p>
    <w:p w14:paraId="43BA5D4E" w14:textId="77777777" w:rsidR="00C67662" w:rsidRPr="00AC4DA8" w:rsidRDefault="00C67662" w:rsidP="009B7F82">
      <w:pPr>
        <w:pStyle w:val="NoSpacing"/>
        <w:spacing w:line="360" w:lineRule="auto"/>
        <w:rPr>
          <w:rFonts w:ascii="Tahoma" w:hAnsi="Tahoma" w:cs="Tahoma"/>
          <w:b/>
          <w:color w:val="595959" w:themeColor="text1" w:themeTint="A6"/>
          <w:sz w:val="10"/>
          <w:szCs w:val="10"/>
        </w:rPr>
      </w:pPr>
    </w:p>
    <w:p w14:paraId="68673F69" w14:textId="77777777" w:rsidR="009B7F82" w:rsidRPr="00AC4DA8" w:rsidRDefault="009B7F82" w:rsidP="009B7F82">
      <w:pPr>
        <w:pStyle w:val="NoSpacing"/>
        <w:rPr>
          <w:rFonts w:ascii="Tahoma" w:hAnsi="Tahoma" w:cs="Tahoma"/>
          <w:b/>
          <w:color w:val="595959" w:themeColor="text1" w:themeTint="A6"/>
          <w:sz w:val="10"/>
          <w:szCs w:val="10"/>
        </w:rPr>
      </w:pPr>
    </w:p>
    <w:p w14:paraId="77D6A45B" w14:textId="6B8B55D5" w:rsidR="005170A5" w:rsidRDefault="006202B1" w:rsidP="005170A5">
      <w:pPr>
        <w:rPr>
          <w:rFonts w:ascii="Tahoma" w:eastAsia="Tahoma" w:hAnsi="Tahoma" w:cs="Tahoma"/>
          <w:sz w:val="28"/>
          <w:szCs w:val="28"/>
        </w:rPr>
      </w:pPr>
      <w:r w:rsidRPr="00D163B3">
        <w:rPr>
          <w:rFonts w:ascii="Tahoma" w:eastAsia="Times New Roman" w:hAnsi="Tahoma" w:cs="Tahoma"/>
          <w:color w:val="000000"/>
          <w:szCs w:val="24"/>
        </w:rPr>
        <w:t>CHICAGO (</w:t>
      </w:r>
      <w:r w:rsidR="007B6C25">
        <w:rPr>
          <w:rFonts w:ascii="Tahoma" w:eastAsia="Times New Roman" w:hAnsi="Tahoma" w:cs="Tahoma"/>
          <w:color w:val="000000"/>
          <w:szCs w:val="24"/>
        </w:rPr>
        <w:t>February 28</w:t>
      </w:r>
      <w:bookmarkStart w:id="0" w:name="_GoBack"/>
      <w:bookmarkEnd w:id="0"/>
      <w:r w:rsidRPr="00D163B3">
        <w:rPr>
          <w:rFonts w:ascii="Tahoma" w:eastAsia="Times New Roman" w:hAnsi="Tahoma" w:cs="Tahoma"/>
          <w:color w:val="000000"/>
          <w:szCs w:val="24"/>
        </w:rPr>
        <w:t>, 2019)</w:t>
      </w:r>
      <w:r w:rsidRPr="00A268BD">
        <w:rPr>
          <w:rFonts w:ascii="Tahoma" w:eastAsia="Times New Roman" w:hAnsi="Tahoma" w:cs="Tahoma"/>
          <w:color w:val="000000"/>
          <w:szCs w:val="24"/>
        </w:rPr>
        <w:t xml:space="preserve"> –– </w:t>
      </w:r>
      <w:r w:rsidR="005170A5">
        <w:rPr>
          <w:rFonts w:ascii="Tahoma" w:eastAsia="Tahoma" w:hAnsi="Tahoma" w:cs="Tahoma"/>
          <w:sz w:val="28"/>
          <w:szCs w:val="28"/>
        </w:rPr>
        <w:t xml:space="preserve">Network of Executive Women, a non-profit organization whose mission is focused on advancing </w:t>
      </w:r>
      <w:r w:rsidR="005170A5" w:rsidRPr="00BD2692">
        <w:rPr>
          <w:rFonts w:ascii="Tahoma" w:eastAsia="Tahoma" w:hAnsi="Tahoma" w:cs="Tahoma"/>
          <w:sz w:val="28"/>
          <w:szCs w:val="28"/>
        </w:rPr>
        <w:t>all</w:t>
      </w:r>
      <w:r w:rsidR="005170A5">
        <w:rPr>
          <w:rFonts w:ascii="Tahoma" w:eastAsia="Tahoma" w:hAnsi="Tahoma" w:cs="Tahoma"/>
          <w:sz w:val="28"/>
          <w:szCs w:val="28"/>
        </w:rPr>
        <w:t xml:space="preserve"> women, is announcing a partnership with The Mom Project. NEW and The Mom Project share a vision of building more flexible and authentic workplaces that support professionals building careers and families. The Mom Project is committed to helping women remain active in the workforce at every career pivot point. </w:t>
      </w:r>
    </w:p>
    <w:p w14:paraId="006C2EA6" w14:textId="77777777" w:rsidR="005170A5" w:rsidRDefault="005170A5" w:rsidP="005170A5">
      <w:pPr>
        <w:rPr>
          <w:rFonts w:ascii="Tahoma" w:eastAsia="Tahoma" w:hAnsi="Tahoma" w:cs="Tahoma"/>
          <w:sz w:val="28"/>
          <w:szCs w:val="28"/>
        </w:rPr>
      </w:pPr>
      <w:r>
        <w:rPr>
          <w:rFonts w:ascii="Tahoma" w:eastAsia="Tahoma" w:hAnsi="Tahoma" w:cs="Tahoma"/>
          <w:sz w:val="28"/>
          <w:szCs w:val="28"/>
        </w:rPr>
        <w:t xml:space="preserve">Key initiatives of the partnership include NEW and The Mom Project joining forces to advance gender parity, improve flexible work opportunities for women and men with families and demonstrating to companies the key steps they must take to retain women. </w:t>
      </w:r>
    </w:p>
    <w:p w14:paraId="514645E2" w14:textId="77777777" w:rsidR="005170A5" w:rsidRDefault="005170A5" w:rsidP="005170A5">
      <w:pPr>
        <w:rPr>
          <w:rFonts w:ascii="Tahoma" w:eastAsia="Tahoma" w:hAnsi="Tahoma" w:cs="Tahoma"/>
          <w:sz w:val="28"/>
          <w:szCs w:val="28"/>
        </w:rPr>
      </w:pPr>
      <w:r>
        <w:rPr>
          <w:rFonts w:ascii="Tahoma" w:eastAsia="Tahoma" w:hAnsi="Tahoma" w:cs="Tahoma"/>
          <w:sz w:val="28"/>
          <w:szCs w:val="28"/>
        </w:rPr>
        <w:t xml:space="preserve">NEW produces critical research and actionable intelligence, such as the </w:t>
      </w:r>
      <w:r w:rsidRPr="00BD2692">
        <w:rPr>
          <w:rFonts w:ascii="Tahoma" w:eastAsia="Tahoma" w:hAnsi="Tahoma" w:cs="Tahoma"/>
          <w:sz w:val="28"/>
          <w:szCs w:val="28"/>
        </w:rPr>
        <w:t>“NEW Blueprint for Gender Equality,”</w:t>
      </w:r>
      <w:r>
        <w:rPr>
          <w:rFonts w:ascii="Tahoma" w:eastAsia="Tahoma" w:hAnsi="Tahoma" w:cs="Tahoma"/>
          <w:sz w:val="28"/>
          <w:szCs w:val="28"/>
        </w:rPr>
        <w:t xml:space="preserve"> which provide processes for organizations to transform and drive change from the top down and bottom up. NEW solutions provide career-accelerating learning for women, deliver unique insights on women in the workplace, partner with C-Suite leadership to advance women and empower women where they work and live.</w:t>
      </w:r>
    </w:p>
    <w:p w14:paraId="0FF3D60F" w14:textId="77777777" w:rsidR="005170A5" w:rsidRDefault="005170A5" w:rsidP="005170A5">
      <w:pPr>
        <w:rPr>
          <w:rFonts w:ascii="Tahoma" w:hAnsi="Tahoma" w:cs="Tahoma"/>
          <w:sz w:val="28"/>
          <w:szCs w:val="28"/>
        </w:rPr>
      </w:pPr>
      <w:r>
        <w:rPr>
          <w:rFonts w:ascii="Tahoma" w:hAnsi="Tahoma" w:cs="Tahoma"/>
          <w:sz w:val="28"/>
          <w:szCs w:val="28"/>
        </w:rPr>
        <w:t xml:space="preserve">“Our research shows two factors influence a woman’s intent to stay with a company: A feeling of belonging and the ability to achieve long-term career goals,” said NEW President and CEO Sarah Alter. “In both areas, companies are falling short. Our partnership with The Mom Project is aimed at helping organizations retain and advance talented women to reap </w:t>
      </w:r>
      <w:r>
        <w:rPr>
          <w:rFonts w:ascii="Tahoma" w:hAnsi="Tahoma" w:cs="Tahoma"/>
          <w:sz w:val="28"/>
          <w:szCs w:val="28"/>
        </w:rPr>
        <w:lastRenderedPageBreak/>
        <w:t>the many business benefits of women’s leadership in a gender diverse and inclusive workplace.”</w:t>
      </w:r>
    </w:p>
    <w:p w14:paraId="1867AC0F" w14:textId="77777777" w:rsidR="005170A5" w:rsidRDefault="005170A5" w:rsidP="005170A5">
      <w:pPr>
        <w:rPr>
          <w:rFonts w:ascii="Tahoma" w:eastAsia="Tahoma" w:hAnsi="Tahoma" w:cs="Tahoma"/>
          <w:sz w:val="28"/>
          <w:szCs w:val="28"/>
        </w:rPr>
      </w:pPr>
      <w:r>
        <w:rPr>
          <w:rFonts w:ascii="Tahoma" w:eastAsia="Tahoma" w:hAnsi="Tahoma" w:cs="Tahoma"/>
          <w:sz w:val="28"/>
          <w:szCs w:val="28"/>
        </w:rPr>
        <w:t xml:space="preserve">The Mom Project has developed a predictive methodology, called Personal Investment in Role (PIR), to identify drivers of employee retention and link them to corporate ROI. The Mom Project and NEW are partnering to develop PIR industry benchmarks for consumer goods, retail, financial services and technology. </w:t>
      </w:r>
    </w:p>
    <w:p w14:paraId="5C406E2D" w14:textId="77777777" w:rsidR="005170A5" w:rsidRDefault="005170A5" w:rsidP="005170A5">
      <w:pPr>
        <w:rPr>
          <w:rFonts w:ascii="Tahoma" w:eastAsia="Tahoma" w:hAnsi="Tahoma" w:cs="Tahoma"/>
          <w:sz w:val="28"/>
          <w:szCs w:val="28"/>
        </w:rPr>
      </w:pPr>
      <w:r>
        <w:rPr>
          <w:rFonts w:ascii="Tahoma" w:eastAsia="Tahoma" w:hAnsi="Tahoma" w:cs="Tahoma"/>
          <w:sz w:val="28"/>
          <w:szCs w:val="28"/>
        </w:rPr>
        <w:t xml:space="preserve">Additionally, individual companies may get their own PIR Score. The Mom Project and NEW are offering the PIR Score to NEW corporate partners at qualifying levels as a benefit of partnership. </w:t>
      </w:r>
    </w:p>
    <w:p w14:paraId="2ECF8D10" w14:textId="27208799" w:rsidR="005170A5" w:rsidRDefault="005170A5" w:rsidP="005170A5">
      <w:pPr>
        <w:rPr>
          <w:rFonts w:ascii="Tahoma" w:eastAsia="Tahoma" w:hAnsi="Tahoma" w:cs="Tahoma"/>
          <w:sz w:val="28"/>
          <w:szCs w:val="28"/>
        </w:rPr>
      </w:pPr>
      <w:bookmarkStart w:id="1" w:name="_gjdgxs" w:colFirst="0" w:colLast="0"/>
      <w:bookmarkEnd w:id="1"/>
      <w:r>
        <w:rPr>
          <w:rFonts w:ascii="Tahoma" w:eastAsia="Tahoma" w:hAnsi="Tahoma" w:cs="Tahoma"/>
          <w:sz w:val="28"/>
          <w:szCs w:val="28"/>
        </w:rPr>
        <w:t>Companies are at differing junctures in their efforts to bring full gender equality into their workplaces. The PIR Score will enable organizations to benchmark themselves, focus their efforts on the retention drivers that matter most and quantify the success of their diversity and inclusion efforts.</w:t>
      </w:r>
    </w:p>
    <w:p w14:paraId="750AF08F" w14:textId="77777777" w:rsidR="009E6880" w:rsidRDefault="009E6880" w:rsidP="009E6880">
      <w:pPr>
        <w:rPr>
          <w:rFonts w:ascii="Tahoma" w:hAnsi="Tahoma" w:cs="Tahoma"/>
          <w:sz w:val="28"/>
          <w:szCs w:val="28"/>
        </w:rPr>
      </w:pPr>
      <w:r>
        <w:rPr>
          <w:rFonts w:ascii="Tahoma" w:hAnsi="Tahoma" w:cs="Tahoma"/>
          <w:sz w:val="28"/>
          <w:szCs w:val="28"/>
        </w:rPr>
        <w:t xml:space="preserve">Affiliates of The Mom Project will have access to a reduced NEW membership fee of $99. NEW Title and Foundation corporate partners and Future Fund donors will have the opportunity to receive their own company PIR score. </w:t>
      </w:r>
    </w:p>
    <w:p w14:paraId="1C9AC550" w14:textId="77777777" w:rsidR="009E6880" w:rsidRDefault="009E6880" w:rsidP="009E6880">
      <w:pPr>
        <w:rPr>
          <w:rFonts w:ascii="Tahoma" w:hAnsi="Tahoma" w:cs="Tahoma"/>
          <w:sz w:val="28"/>
          <w:szCs w:val="28"/>
        </w:rPr>
      </w:pPr>
      <w:r>
        <w:rPr>
          <w:rFonts w:ascii="Tahoma" w:hAnsi="Tahoma" w:cs="Tahoma"/>
          <w:sz w:val="28"/>
          <w:szCs w:val="28"/>
        </w:rPr>
        <w:t>To demonstrate The Mom Project's commitment to NEW and its members in 2019, the organization will offer all NEW corporate partners that sign on to support the </w:t>
      </w:r>
      <w:hyperlink r:id="rId8" w:tgtFrame="_blank" w:history="1">
        <w:r>
          <w:rPr>
            <w:rStyle w:val="Hyperlink"/>
            <w:rFonts w:ascii="Tahoma" w:hAnsi="Tahoma" w:cs="Tahoma"/>
            <w:sz w:val="28"/>
            <w:szCs w:val="28"/>
          </w:rPr>
          <w:t>Women's Work Initiative</w:t>
        </w:r>
      </w:hyperlink>
      <w:r>
        <w:rPr>
          <w:rFonts w:ascii="Tahoma" w:hAnsi="Tahoma" w:cs="Tahoma"/>
          <w:sz w:val="28"/>
          <w:szCs w:val="28"/>
        </w:rPr>
        <w:t> — The Mom Project's program designed to maximize female workforce participation — exclusive program rates and special benefits.</w:t>
      </w:r>
    </w:p>
    <w:p w14:paraId="6B637B0C" w14:textId="78904F66" w:rsidR="005170A5" w:rsidRDefault="009E6880" w:rsidP="009E6880">
      <w:pPr>
        <w:rPr>
          <w:rFonts w:ascii="Tahoma" w:eastAsia="Tahoma" w:hAnsi="Tahoma" w:cs="Tahoma"/>
          <w:sz w:val="28"/>
          <w:szCs w:val="28"/>
        </w:rPr>
      </w:pPr>
      <w:r w:rsidRPr="00704CB4">
        <w:rPr>
          <w:rFonts w:ascii="Tahoma" w:eastAsia="Tahoma" w:hAnsi="Tahoma" w:cs="Tahoma"/>
          <w:sz w:val="28"/>
          <w:szCs w:val="28"/>
        </w:rPr>
        <w:t xml:space="preserve"> </w:t>
      </w:r>
      <w:r w:rsidR="005170A5" w:rsidRPr="00704CB4">
        <w:rPr>
          <w:rFonts w:ascii="Tahoma" w:eastAsia="Tahoma" w:hAnsi="Tahoma" w:cs="Tahoma"/>
          <w:sz w:val="28"/>
          <w:szCs w:val="28"/>
        </w:rPr>
        <w:t xml:space="preserve">“We are thrilled to join forces with NEW to move the needle on gender parity in the workplace,” said Allison Robinson, </w:t>
      </w:r>
      <w:r w:rsidR="005170A5">
        <w:rPr>
          <w:rFonts w:ascii="Tahoma" w:eastAsia="Tahoma" w:hAnsi="Tahoma" w:cs="Tahoma"/>
          <w:sz w:val="28"/>
          <w:szCs w:val="28"/>
        </w:rPr>
        <w:t>f</w:t>
      </w:r>
      <w:r w:rsidR="005170A5" w:rsidRPr="00704CB4">
        <w:rPr>
          <w:rFonts w:ascii="Tahoma" w:eastAsia="Tahoma" w:hAnsi="Tahoma" w:cs="Tahoma"/>
          <w:sz w:val="28"/>
          <w:szCs w:val="28"/>
        </w:rPr>
        <w:t xml:space="preserve">ounder </w:t>
      </w:r>
      <w:r w:rsidR="005170A5">
        <w:rPr>
          <w:rFonts w:ascii="Tahoma" w:eastAsia="Tahoma" w:hAnsi="Tahoma" w:cs="Tahoma"/>
          <w:sz w:val="28"/>
          <w:szCs w:val="28"/>
        </w:rPr>
        <w:t>and</w:t>
      </w:r>
      <w:r w:rsidR="005170A5" w:rsidRPr="00704CB4">
        <w:rPr>
          <w:rFonts w:ascii="Tahoma" w:eastAsia="Tahoma" w:hAnsi="Tahoma" w:cs="Tahoma"/>
          <w:sz w:val="28"/>
          <w:szCs w:val="28"/>
        </w:rPr>
        <w:t xml:space="preserve"> CEO of The Mom Project. “The ability to provide companies with tools to objectively assess the impact of their diversity and inclusion efforts is key to making gender parity a reality. Companies have the power to impact real change when it comes to parity</w:t>
      </w:r>
      <w:r w:rsidR="005170A5">
        <w:rPr>
          <w:rFonts w:ascii="Tahoma" w:eastAsia="Tahoma" w:hAnsi="Tahoma" w:cs="Tahoma"/>
          <w:sz w:val="28"/>
          <w:szCs w:val="28"/>
        </w:rPr>
        <w:t>. P</w:t>
      </w:r>
      <w:r w:rsidR="005170A5" w:rsidRPr="00704CB4">
        <w:rPr>
          <w:rFonts w:ascii="Tahoma" w:eastAsia="Tahoma" w:hAnsi="Tahoma" w:cs="Tahoma"/>
          <w:sz w:val="28"/>
          <w:szCs w:val="28"/>
        </w:rPr>
        <w:t xml:space="preserve">roviding them with data and insights to prove out their D&amp;I efforts gets us one step closer </w:t>
      </w:r>
      <w:r w:rsidR="005170A5">
        <w:rPr>
          <w:rFonts w:ascii="Tahoma" w:eastAsia="Tahoma" w:hAnsi="Tahoma" w:cs="Tahoma"/>
          <w:sz w:val="28"/>
          <w:szCs w:val="28"/>
        </w:rPr>
        <w:t xml:space="preserve">to </w:t>
      </w:r>
      <w:r w:rsidR="005170A5" w:rsidRPr="00704CB4">
        <w:rPr>
          <w:rFonts w:ascii="Tahoma" w:eastAsia="Tahoma" w:hAnsi="Tahoma" w:cs="Tahoma"/>
          <w:sz w:val="28"/>
          <w:szCs w:val="28"/>
        </w:rPr>
        <w:t>creating a better, more equitable workplace for all.”</w:t>
      </w:r>
    </w:p>
    <w:p w14:paraId="62746C33" w14:textId="77777777" w:rsidR="005170A5" w:rsidRDefault="005170A5" w:rsidP="005170A5">
      <w:pPr>
        <w:rPr>
          <w:rFonts w:ascii="Tahoma" w:eastAsia="Tahoma" w:hAnsi="Tahoma" w:cs="Tahoma"/>
          <w:sz w:val="28"/>
          <w:szCs w:val="28"/>
        </w:rPr>
      </w:pPr>
      <w:r>
        <w:rPr>
          <w:rFonts w:ascii="Tahoma" w:eastAsia="Tahoma" w:hAnsi="Tahoma" w:cs="Tahoma"/>
          <w:sz w:val="28"/>
          <w:szCs w:val="28"/>
        </w:rPr>
        <w:t xml:space="preserve">In addition to leveraging the Personal Investment in Role model, NEW and The Mom Project will coauthor a research paper and present their findings </w:t>
      </w:r>
      <w:r>
        <w:rPr>
          <w:rFonts w:ascii="Tahoma" w:eastAsia="Tahoma" w:hAnsi="Tahoma" w:cs="Tahoma"/>
          <w:sz w:val="28"/>
          <w:szCs w:val="28"/>
        </w:rPr>
        <w:lastRenderedPageBreak/>
        <w:t>at future conferences. NEW and The Mom Project’s partnership will activate our powerful and growing communities.</w:t>
      </w:r>
    </w:p>
    <w:p w14:paraId="7F728851" w14:textId="00DC5DEB" w:rsidR="00E515A8" w:rsidRDefault="00E515A8" w:rsidP="002867AA">
      <w:pPr>
        <w:pStyle w:val="NoSpacing"/>
        <w:spacing w:line="276" w:lineRule="auto"/>
        <w:rPr>
          <w:rFonts w:ascii="Tahoma" w:hAnsi="Tahoma" w:cs="Tahoma"/>
          <w:i/>
          <w:iCs/>
          <w:color w:val="595959" w:themeColor="text1" w:themeTint="A6"/>
          <w:szCs w:val="24"/>
        </w:rPr>
      </w:pPr>
    </w:p>
    <w:p w14:paraId="16095822" w14:textId="77777777" w:rsidR="00FB6B89" w:rsidRDefault="00FB6B89" w:rsidP="00B07D66">
      <w:pPr>
        <w:spacing w:line="276" w:lineRule="auto"/>
        <w:rPr>
          <w:rFonts w:ascii="Tahoma" w:hAnsi="Tahoma" w:cs="Tahoma"/>
          <w:b/>
          <w:bCs/>
          <w:color w:val="595959" w:themeColor="text1" w:themeTint="A6"/>
        </w:rPr>
      </w:pPr>
    </w:p>
    <w:p w14:paraId="5378DCF6" w14:textId="0EF2DCB2" w:rsidR="00B07D66" w:rsidRPr="00942DF7" w:rsidRDefault="490A6B79" w:rsidP="00B07D66">
      <w:pPr>
        <w:spacing w:line="276" w:lineRule="auto"/>
        <w:rPr>
          <w:rFonts w:ascii="Tahoma" w:hAnsi="Tahoma" w:cs="Tahoma"/>
          <w:b/>
          <w:color w:val="595959" w:themeColor="text1" w:themeTint="A6"/>
          <w:szCs w:val="24"/>
        </w:rPr>
      </w:pPr>
      <w:r w:rsidRPr="00942DF7">
        <w:rPr>
          <w:rFonts w:ascii="Tahoma" w:hAnsi="Tahoma" w:cs="Tahoma"/>
          <w:b/>
          <w:bCs/>
          <w:color w:val="595959" w:themeColor="text1" w:themeTint="A6"/>
        </w:rPr>
        <w:t>ABOUT NEW</w:t>
      </w:r>
    </w:p>
    <w:p w14:paraId="40508F22" w14:textId="5386DF4A" w:rsidR="490A6B79" w:rsidRPr="00942DF7" w:rsidRDefault="490A6B79">
      <w:pPr>
        <w:rPr>
          <w:rFonts w:ascii="Tahoma" w:hAnsi="Tahoma" w:cs="Tahoma"/>
        </w:rPr>
      </w:pPr>
      <w:r w:rsidRPr="00942DF7">
        <w:rPr>
          <w:rFonts w:ascii="Tahoma" w:eastAsia="Arial" w:hAnsi="Tahoma" w:cs="Tahoma"/>
          <w:color w:val="595959" w:themeColor="text1" w:themeTint="A6"/>
          <w:szCs w:val="24"/>
        </w:rPr>
        <w:t xml:space="preserve">Founded in 2001, the Network of Executive Women represents more than 12,000 members, 900 companies, 115 corporate partners and 22 regions in the U.S. and Canada advancing all women and building business. For more information about NEW and its learning programs, events, content and insights, visit newonline.org. Connect with us on social media @newnational.   </w:t>
      </w:r>
    </w:p>
    <w:p w14:paraId="683A623A" w14:textId="3926BCEC" w:rsidR="490A6B79" w:rsidRDefault="490A6B79" w:rsidP="004B0163">
      <w:r w:rsidRPr="490A6B79">
        <w:rPr>
          <w:rFonts w:ascii="Tahoma" w:eastAsia="Tahoma" w:hAnsi="Tahoma" w:cs="Tahoma"/>
          <w:color w:val="595959" w:themeColor="text1" w:themeTint="A6"/>
          <w:sz w:val="20"/>
          <w:szCs w:val="20"/>
        </w:rPr>
        <w:t xml:space="preserve">  </w:t>
      </w:r>
    </w:p>
    <w:p w14:paraId="1E2A8214" w14:textId="54861C7A" w:rsidR="004B0163" w:rsidRDefault="004B0163" w:rsidP="004B0163">
      <w:r>
        <w:rPr>
          <w:noProof/>
        </w:rPr>
        <w:drawing>
          <wp:inline distT="0" distB="0" distL="0" distR="0" wp14:anchorId="37FF616B" wp14:editId="6A64E1F1">
            <wp:extent cx="5943600" cy="3803650"/>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email.jpeg"/>
                    <pic:cNvPicPr/>
                  </pic:nvPicPr>
                  <pic:blipFill>
                    <a:blip r:embed="rId9"/>
                    <a:stretch>
                      <a:fillRect/>
                    </a:stretch>
                  </pic:blipFill>
                  <pic:spPr>
                    <a:xfrm>
                      <a:off x="0" y="0"/>
                      <a:ext cx="5943600" cy="3803650"/>
                    </a:xfrm>
                    <a:prstGeom prst="rect">
                      <a:avLst/>
                    </a:prstGeom>
                  </pic:spPr>
                </pic:pic>
              </a:graphicData>
            </a:graphic>
          </wp:inline>
        </w:drawing>
      </w:r>
    </w:p>
    <w:p w14:paraId="3E7617B9" w14:textId="77777777" w:rsidR="00B07D66" w:rsidRPr="005B2921" w:rsidRDefault="00B07D66" w:rsidP="005B2921">
      <w:pPr>
        <w:pStyle w:val="NoSpacing"/>
        <w:spacing w:line="276" w:lineRule="auto"/>
        <w:rPr>
          <w:rFonts w:ascii="Tahoma" w:hAnsi="Tahoma" w:cs="Tahoma"/>
          <w:i/>
          <w:color w:val="595959" w:themeColor="text1" w:themeTint="A6"/>
          <w:sz w:val="24"/>
          <w:szCs w:val="24"/>
        </w:rPr>
      </w:pPr>
    </w:p>
    <w:p w14:paraId="32F7FDDC" w14:textId="43DAC61B" w:rsidR="490A6B79" w:rsidRDefault="490A6B79" w:rsidP="490A6B79">
      <w:pPr>
        <w:spacing w:line="360" w:lineRule="auto"/>
      </w:pPr>
    </w:p>
    <w:p w14:paraId="6AFE84B4" w14:textId="7F4928A8" w:rsidR="008C01E2" w:rsidRPr="00AC4DA8" w:rsidRDefault="490A6B79" w:rsidP="490A6B79">
      <w:pPr>
        <w:pStyle w:val="NoSpacing"/>
        <w:spacing w:line="360" w:lineRule="auto"/>
        <w:rPr>
          <w:rFonts w:ascii="Arial" w:eastAsia="Arial" w:hAnsi="Arial" w:cs="Arial"/>
          <w:i/>
          <w:iCs/>
          <w:sz w:val="24"/>
          <w:szCs w:val="24"/>
        </w:rPr>
      </w:pPr>
      <w:r w:rsidRPr="490A6B79">
        <w:rPr>
          <w:rFonts w:ascii="Arial" w:eastAsia="Arial" w:hAnsi="Arial" w:cs="Arial"/>
          <w:i/>
          <w:iCs/>
          <w:sz w:val="24"/>
          <w:szCs w:val="24"/>
        </w:rPr>
        <w:t xml:space="preserve"> </w:t>
      </w:r>
    </w:p>
    <w:p w14:paraId="4186BC23" w14:textId="7C9348C7" w:rsidR="008C01E2" w:rsidRPr="00AC4DA8" w:rsidRDefault="008C01E2" w:rsidP="490A6B79">
      <w:pPr>
        <w:pStyle w:val="NoSpacing"/>
        <w:spacing w:line="360" w:lineRule="auto"/>
        <w:rPr>
          <w:rFonts w:ascii="Arial" w:eastAsia="Arial" w:hAnsi="Arial" w:cs="Arial"/>
          <w:i/>
          <w:iCs/>
          <w:sz w:val="24"/>
          <w:szCs w:val="24"/>
        </w:rPr>
      </w:pPr>
    </w:p>
    <w:p w14:paraId="42B615BA" w14:textId="4AB06C77" w:rsidR="008C01E2" w:rsidRPr="00AC4DA8" w:rsidRDefault="008C01E2" w:rsidP="490A6B79">
      <w:pPr>
        <w:pStyle w:val="NoSpacing"/>
        <w:spacing w:line="360" w:lineRule="auto"/>
        <w:rPr>
          <w:rFonts w:ascii="Arial" w:eastAsia="Arial" w:hAnsi="Arial" w:cs="Arial"/>
          <w:i/>
          <w:iCs/>
          <w:sz w:val="24"/>
          <w:szCs w:val="24"/>
        </w:rPr>
      </w:pPr>
    </w:p>
    <w:p w14:paraId="53EEEAF9" w14:textId="0C262F74" w:rsidR="008C01E2" w:rsidRPr="00AC4DA8" w:rsidRDefault="008C01E2" w:rsidP="490A6B79">
      <w:pPr>
        <w:pStyle w:val="NoSpacing"/>
        <w:spacing w:line="360" w:lineRule="auto"/>
        <w:rPr>
          <w:rFonts w:ascii="Arial" w:eastAsia="Arial" w:hAnsi="Arial" w:cs="Arial"/>
          <w:i/>
          <w:iCs/>
          <w:sz w:val="24"/>
          <w:szCs w:val="24"/>
        </w:rPr>
      </w:pPr>
    </w:p>
    <w:p w14:paraId="6BAB1D6D" w14:textId="62BAF508" w:rsidR="008C01E2" w:rsidRPr="00AC4DA8" w:rsidRDefault="008C01E2" w:rsidP="490A6B79">
      <w:pPr>
        <w:pStyle w:val="NoSpacing"/>
        <w:spacing w:line="360" w:lineRule="auto"/>
        <w:rPr>
          <w:rFonts w:ascii="Arial" w:eastAsia="Arial" w:hAnsi="Arial" w:cs="Arial"/>
          <w:i/>
          <w:iCs/>
          <w:sz w:val="24"/>
          <w:szCs w:val="24"/>
        </w:rPr>
      </w:pPr>
    </w:p>
    <w:p w14:paraId="36B7DACC" w14:textId="4CCBEE6F" w:rsidR="008C01E2" w:rsidRPr="00AC4DA8" w:rsidRDefault="008C01E2" w:rsidP="490A6B79">
      <w:pPr>
        <w:pStyle w:val="NoSpacing"/>
        <w:spacing w:line="360" w:lineRule="auto"/>
        <w:rPr>
          <w:rFonts w:ascii="Arial" w:eastAsia="Arial" w:hAnsi="Arial" w:cs="Arial"/>
          <w:i/>
          <w:iCs/>
          <w:sz w:val="24"/>
          <w:szCs w:val="24"/>
        </w:rPr>
      </w:pPr>
    </w:p>
    <w:p w14:paraId="61615EE7" w14:textId="7BEA955B" w:rsidR="008C01E2" w:rsidRPr="00AC4DA8" w:rsidRDefault="008C01E2" w:rsidP="490A6B79">
      <w:pPr>
        <w:pStyle w:val="NoSpacing"/>
        <w:spacing w:line="360" w:lineRule="auto"/>
        <w:rPr>
          <w:rFonts w:ascii="Arial" w:eastAsia="Arial" w:hAnsi="Arial" w:cs="Arial"/>
          <w:i/>
          <w:iCs/>
          <w:sz w:val="24"/>
          <w:szCs w:val="24"/>
        </w:rPr>
      </w:pPr>
    </w:p>
    <w:p w14:paraId="7C4CDD82" w14:textId="33DA873C" w:rsidR="008C01E2" w:rsidRPr="00AC4DA8" w:rsidRDefault="008C01E2" w:rsidP="490A6B79">
      <w:pPr>
        <w:pStyle w:val="NoSpacing"/>
        <w:spacing w:line="360" w:lineRule="auto"/>
        <w:rPr>
          <w:rFonts w:ascii="Arial" w:eastAsia="Arial" w:hAnsi="Arial" w:cs="Arial"/>
          <w:i/>
          <w:iCs/>
          <w:sz w:val="24"/>
          <w:szCs w:val="24"/>
        </w:rPr>
      </w:pPr>
    </w:p>
    <w:p w14:paraId="590991F1" w14:textId="07F5DBA4" w:rsidR="008C01E2" w:rsidRPr="00AC4DA8" w:rsidRDefault="008C01E2" w:rsidP="490A6B79">
      <w:pPr>
        <w:pStyle w:val="NoSpacing"/>
        <w:spacing w:line="360" w:lineRule="auto"/>
        <w:rPr>
          <w:rFonts w:ascii="Arial" w:eastAsia="Arial" w:hAnsi="Arial" w:cs="Arial"/>
          <w:i/>
          <w:iCs/>
          <w:sz w:val="24"/>
          <w:szCs w:val="24"/>
        </w:rPr>
      </w:pPr>
    </w:p>
    <w:p w14:paraId="4A22B289" w14:textId="44373D6A" w:rsidR="008C01E2" w:rsidRPr="00AC4DA8" w:rsidRDefault="008C01E2" w:rsidP="490A6B79">
      <w:pPr>
        <w:pStyle w:val="NoSpacing"/>
        <w:spacing w:line="360" w:lineRule="auto"/>
        <w:rPr>
          <w:rFonts w:ascii="Arial" w:eastAsia="Arial" w:hAnsi="Arial" w:cs="Arial"/>
          <w:i/>
          <w:iCs/>
          <w:sz w:val="24"/>
          <w:szCs w:val="24"/>
        </w:rPr>
      </w:pPr>
    </w:p>
    <w:p w14:paraId="115798D4" w14:textId="6F3617A5" w:rsidR="008C01E2" w:rsidRPr="00AC4DA8" w:rsidRDefault="490A6B79" w:rsidP="490A6B79">
      <w:pPr>
        <w:pStyle w:val="NoSpacing"/>
        <w:spacing w:line="360" w:lineRule="auto"/>
        <w:rPr>
          <w:rFonts w:ascii="Tahoma" w:hAnsi="Tahoma" w:cs="Tahoma"/>
          <w:color w:val="595959" w:themeColor="text1" w:themeTint="A6"/>
        </w:rPr>
      </w:pPr>
      <w:r w:rsidRPr="490A6B79">
        <w:t>Network of Executive Women | 161 N. Clark Street | Chicago, IL 60601</w:t>
      </w:r>
    </w:p>
    <w:sectPr w:rsidR="008C01E2" w:rsidRPr="00AC4DA8" w:rsidSect="000675D0">
      <w:headerReference w:type="default" r:id="rId10"/>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F978" w14:textId="77777777" w:rsidR="00D50F70" w:rsidRDefault="00D50F70" w:rsidP="000675D0">
      <w:pPr>
        <w:spacing w:after="0" w:line="240" w:lineRule="auto"/>
      </w:pPr>
      <w:r>
        <w:separator/>
      </w:r>
    </w:p>
  </w:endnote>
  <w:endnote w:type="continuationSeparator" w:id="0">
    <w:p w14:paraId="07D32046" w14:textId="77777777" w:rsidR="00D50F70" w:rsidRDefault="00D50F70" w:rsidP="000675D0">
      <w:pPr>
        <w:spacing w:after="0" w:line="240" w:lineRule="auto"/>
      </w:pPr>
      <w:r>
        <w:continuationSeparator/>
      </w:r>
    </w:p>
  </w:endnote>
  <w:endnote w:type="continuationNotice" w:id="1">
    <w:p w14:paraId="10DB0E62" w14:textId="77777777" w:rsidR="00226137" w:rsidRDefault="00226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DDDA" w14:textId="77777777" w:rsidR="00D50F70" w:rsidRDefault="00D50F70" w:rsidP="000675D0">
      <w:pPr>
        <w:spacing w:after="0" w:line="240" w:lineRule="auto"/>
      </w:pPr>
      <w:r>
        <w:separator/>
      </w:r>
    </w:p>
  </w:footnote>
  <w:footnote w:type="continuationSeparator" w:id="0">
    <w:p w14:paraId="1137FA92" w14:textId="77777777" w:rsidR="00D50F70" w:rsidRDefault="00D50F70" w:rsidP="000675D0">
      <w:pPr>
        <w:spacing w:after="0" w:line="240" w:lineRule="auto"/>
      </w:pPr>
      <w:r>
        <w:continuationSeparator/>
      </w:r>
    </w:p>
  </w:footnote>
  <w:footnote w:type="continuationNotice" w:id="1">
    <w:p w14:paraId="0E395FAB" w14:textId="77777777" w:rsidR="00226137" w:rsidRDefault="00226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6DA2" w14:textId="77777777" w:rsidR="000675D0" w:rsidRDefault="000675D0">
    <w:pPr>
      <w:pStyle w:val="Header"/>
    </w:pPr>
  </w:p>
  <w:p w14:paraId="4BD17089" w14:textId="77777777" w:rsidR="000675D0" w:rsidRDefault="0006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3C"/>
    <w:rsid w:val="00004525"/>
    <w:rsid w:val="0003115D"/>
    <w:rsid w:val="00051596"/>
    <w:rsid w:val="000536B2"/>
    <w:rsid w:val="000675D0"/>
    <w:rsid w:val="0007216A"/>
    <w:rsid w:val="0009067B"/>
    <w:rsid w:val="000A2E5A"/>
    <w:rsid w:val="000A4383"/>
    <w:rsid w:val="000A5097"/>
    <w:rsid w:val="000C74BF"/>
    <w:rsid w:val="000F1352"/>
    <w:rsid w:val="000F5B3C"/>
    <w:rsid w:val="0012713E"/>
    <w:rsid w:val="00133D85"/>
    <w:rsid w:val="0015146A"/>
    <w:rsid w:val="00170CDD"/>
    <w:rsid w:val="00180BE9"/>
    <w:rsid w:val="001826D9"/>
    <w:rsid w:val="0018712D"/>
    <w:rsid w:val="001C70CB"/>
    <w:rsid w:val="001F05B7"/>
    <w:rsid w:val="00226137"/>
    <w:rsid w:val="002516F2"/>
    <w:rsid w:val="0025400E"/>
    <w:rsid w:val="002867AA"/>
    <w:rsid w:val="002A1A8D"/>
    <w:rsid w:val="002A285D"/>
    <w:rsid w:val="002B2EA9"/>
    <w:rsid w:val="002D2E33"/>
    <w:rsid w:val="002F3ECE"/>
    <w:rsid w:val="00314C2C"/>
    <w:rsid w:val="003352D6"/>
    <w:rsid w:val="00345D0E"/>
    <w:rsid w:val="00354D00"/>
    <w:rsid w:val="00385100"/>
    <w:rsid w:val="003B7B2F"/>
    <w:rsid w:val="003D065C"/>
    <w:rsid w:val="0040448B"/>
    <w:rsid w:val="00412AB4"/>
    <w:rsid w:val="00426287"/>
    <w:rsid w:val="004269BE"/>
    <w:rsid w:val="004333A4"/>
    <w:rsid w:val="004372E5"/>
    <w:rsid w:val="00441AFC"/>
    <w:rsid w:val="0044628E"/>
    <w:rsid w:val="00471FDE"/>
    <w:rsid w:val="004B0163"/>
    <w:rsid w:val="004B1BBB"/>
    <w:rsid w:val="004C27AE"/>
    <w:rsid w:val="004D6811"/>
    <w:rsid w:val="004F3E13"/>
    <w:rsid w:val="005170A5"/>
    <w:rsid w:val="0052341E"/>
    <w:rsid w:val="00526903"/>
    <w:rsid w:val="005365FF"/>
    <w:rsid w:val="00566714"/>
    <w:rsid w:val="00573BFE"/>
    <w:rsid w:val="00577A27"/>
    <w:rsid w:val="005917B7"/>
    <w:rsid w:val="00594CE9"/>
    <w:rsid w:val="0059604E"/>
    <w:rsid w:val="005A25F9"/>
    <w:rsid w:val="005B004D"/>
    <w:rsid w:val="005B2921"/>
    <w:rsid w:val="005D6951"/>
    <w:rsid w:val="005E26D2"/>
    <w:rsid w:val="005E28EB"/>
    <w:rsid w:val="005E4514"/>
    <w:rsid w:val="005F5200"/>
    <w:rsid w:val="0060077F"/>
    <w:rsid w:val="006202B1"/>
    <w:rsid w:val="0063246B"/>
    <w:rsid w:val="00655782"/>
    <w:rsid w:val="0067505B"/>
    <w:rsid w:val="00680AC7"/>
    <w:rsid w:val="006926F0"/>
    <w:rsid w:val="006B1BEE"/>
    <w:rsid w:val="006D1C3A"/>
    <w:rsid w:val="00700C23"/>
    <w:rsid w:val="007030E8"/>
    <w:rsid w:val="007158D7"/>
    <w:rsid w:val="0071712C"/>
    <w:rsid w:val="00717876"/>
    <w:rsid w:val="007234D7"/>
    <w:rsid w:val="007242E8"/>
    <w:rsid w:val="00724B49"/>
    <w:rsid w:val="00732EC0"/>
    <w:rsid w:val="0073519A"/>
    <w:rsid w:val="007417DE"/>
    <w:rsid w:val="00743819"/>
    <w:rsid w:val="00752275"/>
    <w:rsid w:val="00764BFE"/>
    <w:rsid w:val="00766015"/>
    <w:rsid w:val="00774FE9"/>
    <w:rsid w:val="00783AAD"/>
    <w:rsid w:val="007A5E09"/>
    <w:rsid w:val="007A6496"/>
    <w:rsid w:val="007B6C25"/>
    <w:rsid w:val="007C5D61"/>
    <w:rsid w:val="007D6E63"/>
    <w:rsid w:val="007D6FEC"/>
    <w:rsid w:val="007E4BB5"/>
    <w:rsid w:val="0083555E"/>
    <w:rsid w:val="008469D2"/>
    <w:rsid w:val="00854A5D"/>
    <w:rsid w:val="00866281"/>
    <w:rsid w:val="00873D64"/>
    <w:rsid w:val="00894763"/>
    <w:rsid w:val="008C01E2"/>
    <w:rsid w:val="008C05F5"/>
    <w:rsid w:val="008C7F9A"/>
    <w:rsid w:val="008D150F"/>
    <w:rsid w:val="008D187E"/>
    <w:rsid w:val="008D3407"/>
    <w:rsid w:val="00900098"/>
    <w:rsid w:val="00901CCC"/>
    <w:rsid w:val="009256AE"/>
    <w:rsid w:val="00942DF7"/>
    <w:rsid w:val="00954034"/>
    <w:rsid w:val="009579F3"/>
    <w:rsid w:val="00984A25"/>
    <w:rsid w:val="009970FC"/>
    <w:rsid w:val="00997800"/>
    <w:rsid w:val="009A6C6D"/>
    <w:rsid w:val="009B7F82"/>
    <w:rsid w:val="009E6880"/>
    <w:rsid w:val="00A121D9"/>
    <w:rsid w:val="00A46E8C"/>
    <w:rsid w:val="00A60E4F"/>
    <w:rsid w:val="00A705F6"/>
    <w:rsid w:val="00AC4DA8"/>
    <w:rsid w:val="00B01C43"/>
    <w:rsid w:val="00B07D66"/>
    <w:rsid w:val="00B21834"/>
    <w:rsid w:val="00B501C1"/>
    <w:rsid w:val="00B66979"/>
    <w:rsid w:val="00B71EAE"/>
    <w:rsid w:val="00B93DBD"/>
    <w:rsid w:val="00B942C1"/>
    <w:rsid w:val="00B94F7E"/>
    <w:rsid w:val="00B97516"/>
    <w:rsid w:val="00BA7BB7"/>
    <w:rsid w:val="00BB3269"/>
    <w:rsid w:val="00BF6F87"/>
    <w:rsid w:val="00C061E7"/>
    <w:rsid w:val="00C137B4"/>
    <w:rsid w:val="00C43860"/>
    <w:rsid w:val="00C47215"/>
    <w:rsid w:val="00C47668"/>
    <w:rsid w:val="00C51FAF"/>
    <w:rsid w:val="00C63B3C"/>
    <w:rsid w:val="00C67662"/>
    <w:rsid w:val="00C74CE1"/>
    <w:rsid w:val="00C771B4"/>
    <w:rsid w:val="00C77C96"/>
    <w:rsid w:val="00C81883"/>
    <w:rsid w:val="00CB32FA"/>
    <w:rsid w:val="00CC695C"/>
    <w:rsid w:val="00CE0310"/>
    <w:rsid w:val="00CE5B24"/>
    <w:rsid w:val="00D0400C"/>
    <w:rsid w:val="00D2691A"/>
    <w:rsid w:val="00D3739D"/>
    <w:rsid w:val="00D50F70"/>
    <w:rsid w:val="00D62D64"/>
    <w:rsid w:val="00D77BF2"/>
    <w:rsid w:val="00D92726"/>
    <w:rsid w:val="00DC019F"/>
    <w:rsid w:val="00DC464D"/>
    <w:rsid w:val="00DD10F7"/>
    <w:rsid w:val="00DF3770"/>
    <w:rsid w:val="00DF7B5F"/>
    <w:rsid w:val="00E05849"/>
    <w:rsid w:val="00E11CF4"/>
    <w:rsid w:val="00E12C60"/>
    <w:rsid w:val="00E1343A"/>
    <w:rsid w:val="00E15B87"/>
    <w:rsid w:val="00E23892"/>
    <w:rsid w:val="00E32652"/>
    <w:rsid w:val="00E33C12"/>
    <w:rsid w:val="00E3644C"/>
    <w:rsid w:val="00E515A8"/>
    <w:rsid w:val="00E542E8"/>
    <w:rsid w:val="00E63704"/>
    <w:rsid w:val="00EB3C35"/>
    <w:rsid w:val="00EB6ED7"/>
    <w:rsid w:val="00EC234D"/>
    <w:rsid w:val="00EC7735"/>
    <w:rsid w:val="00ED46C7"/>
    <w:rsid w:val="00EF7C70"/>
    <w:rsid w:val="00F04B95"/>
    <w:rsid w:val="00F205A3"/>
    <w:rsid w:val="00F50670"/>
    <w:rsid w:val="00F70766"/>
    <w:rsid w:val="00FA0A96"/>
    <w:rsid w:val="00FA3131"/>
    <w:rsid w:val="00FB6B89"/>
    <w:rsid w:val="00FC7A4C"/>
    <w:rsid w:val="00FD6661"/>
    <w:rsid w:val="00FF49D5"/>
    <w:rsid w:val="00FF6954"/>
    <w:rsid w:val="1519D5FE"/>
    <w:rsid w:val="490A6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C5059"/>
  <w15:docId w15:val="{1F1061CC-E33A-4E59-9AFB-A14A766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semiHidden/>
    <w:unhideWhenUsed/>
    <w:rsid w:val="008C01E2"/>
    <w:pPr>
      <w:spacing w:line="240" w:lineRule="auto"/>
    </w:pPr>
    <w:rPr>
      <w:szCs w:val="24"/>
    </w:rPr>
  </w:style>
  <w:style w:type="character" w:customStyle="1" w:styleId="CommentTextChar">
    <w:name w:val="Comment Text Char"/>
    <w:basedOn w:val="DefaultParagraphFont"/>
    <w:link w:val="CommentText"/>
    <w:uiPriority w:val="99"/>
    <w:semiHidden/>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1">
    <w:name w:val="Unresolved Mention1"/>
    <w:basedOn w:val="DefaultParagraphFont"/>
    <w:uiPriority w:val="99"/>
    <w:rsid w:val="009579F3"/>
    <w:rPr>
      <w:color w:val="808080"/>
      <w:shd w:val="clear" w:color="auto" w:fill="E6E6E6"/>
    </w:rPr>
  </w:style>
  <w:style w:type="character" w:styleId="UnresolvedMention">
    <w:name w:val="Unresolved Mention"/>
    <w:basedOn w:val="DefaultParagraphFont"/>
    <w:uiPriority w:val="99"/>
    <w:rsid w:val="0063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389">
      <w:bodyDiv w:val="1"/>
      <w:marLeft w:val="0"/>
      <w:marRight w:val="0"/>
      <w:marTop w:val="0"/>
      <w:marBottom w:val="0"/>
      <w:divBdr>
        <w:top w:val="none" w:sz="0" w:space="0" w:color="auto"/>
        <w:left w:val="none" w:sz="0" w:space="0" w:color="auto"/>
        <w:bottom w:val="none" w:sz="0" w:space="0" w:color="auto"/>
        <w:right w:val="none" w:sz="0" w:space="0" w:color="auto"/>
      </w:divBdr>
    </w:div>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881091599">
      <w:bodyDiv w:val="1"/>
      <w:marLeft w:val="0"/>
      <w:marRight w:val="0"/>
      <w:marTop w:val="0"/>
      <w:marBottom w:val="0"/>
      <w:divBdr>
        <w:top w:val="none" w:sz="0" w:space="0" w:color="auto"/>
        <w:left w:val="none" w:sz="0" w:space="0" w:color="auto"/>
        <w:bottom w:val="none" w:sz="0" w:space="0" w:color="auto"/>
        <w:right w:val="none" w:sz="0" w:space="0" w:color="auto"/>
      </w:divBdr>
    </w:div>
    <w:div w:id="910386783">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 w:id="155859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themomproject.com/womens-work-initia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3615</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Holly Goodhart</cp:lastModifiedBy>
  <cp:revision>4</cp:revision>
  <dcterms:created xsi:type="dcterms:W3CDTF">2019-02-27T17:13:00Z</dcterms:created>
  <dcterms:modified xsi:type="dcterms:W3CDTF">2019-11-01T15:26:00Z</dcterms:modified>
</cp:coreProperties>
</file>